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0D" w:rsidRDefault="001F4A0D" w:rsidP="001F4A0D">
      <w:pPr>
        <w:jc w:val="center"/>
        <w:rPr>
          <w:b/>
          <w:sz w:val="26"/>
          <w:szCs w:val="26"/>
        </w:rPr>
      </w:pPr>
      <w:r>
        <w:rPr>
          <w:b/>
          <w:sz w:val="26"/>
          <w:szCs w:val="26"/>
        </w:rPr>
        <w:t>Подпрограмма «Поддержка хозяйствующих субъектов, осуществляющих деятельность в сфере производства товаров (работ, услуг)»</w:t>
      </w:r>
    </w:p>
    <w:p w:rsidR="001F4A0D" w:rsidRDefault="001F4A0D" w:rsidP="001F4A0D">
      <w:pPr>
        <w:jc w:val="center"/>
        <w:rPr>
          <w:b/>
          <w:sz w:val="26"/>
          <w:szCs w:val="26"/>
        </w:rPr>
      </w:pPr>
    </w:p>
    <w:p w:rsidR="001F4A0D" w:rsidRDefault="001F4A0D" w:rsidP="001F4A0D">
      <w:pPr>
        <w:ind w:firstLine="709"/>
        <w:jc w:val="both"/>
        <w:rPr>
          <w:sz w:val="26"/>
          <w:szCs w:val="26"/>
        </w:rPr>
      </w:pPr>
      <w:r>
        <w:rPr>
          <w:sz w:val="26"/>
          <w:szCs w:val="26"/>
        </w:rPr>
        <w:t xml:space="preserve">В 2020 году на реализацию </w:t>
      </w:r>
      <w:r>
        <w:rPr>
          <w:b/>
          <w:sz w:val="26"/>
          <w:szCs w:val="26"/>
        </w:rPr>
        <w:t>Подпрограммы «Поддержка хозяйствующих субъектов, осуществляющих деятельность в сфере производства товаров (работ, услуг)»</w:t>
      </w:r>
      <w:r>
        <w:rPr>
          <w:sz w:val="26"/>
          <w:szCs w:val="26"/>
        </w:rPr>
        <w:t xml:space="preserve"> Государственной программы (далее – Подпрограмма) сводной бюджетной росписью предусмотрено 117 314,6 тыс. рублей средств окружного бюджета.</w:t>
      </w:r>
    </w:p>
    <w:p w:rsidR="001F4A0D" w:rsidRDefault="001F4A0D" w:rsidP="001F4A0D">
      <w:pPr>
        <w:ind w:firstLine="709"/>
        <w:jc w:val="both"/>
        <w:rPr>
          <w:sz w:val="10"/>
          <w:szCs w:val="10"/>
          <w:highlight w:val="green"/>
        </w:rPr>
      </w:pPr>
    </w:p>
    <w:p w:rsidR="001F4A0D" w:rsidRDefault="001F4A0D" w:rsidP="001F4A0D">
      <w:pPr>
        <w:ind w:firstLine="709"/>
        <w:jc w:val="both"/>
        <w:rPr>
          <w:sz w:val="26"/>
          <w:szCs w:val="26"/>
        </w:rPr>
      </w:pPr>
      <w:r>
        <w:rPr>
          <w:sz w:val="26"/>
          <w:szCs w:val="26"/>
        </w:rPr>
        <w:t xml:space="preserve">По состоянию на 1 января 2021 года профинансировано мероприятий на сумму 112 983,2 тыс. рублей (96,3% от плановых значений). </w:t>
      </w:r>
    </w:p>
    <w:p w:rsidR="001F4A0D" w:rsidRDefault="001F4A0D" w:rsidP="001F4A0D">
      <w:pPr>
        <w:ind w:firstLine="709"/>
        <w:jc w:val="both"/>
        <w:rPr>
          <w:sz w:val="10"/>
          <w:szCs w:val="10"/>
        </w:rPr>
      </w:pPr>
    </w:p>
    <w:p w:rsidR="001F4A0D" w:rsidRDefault="001F4A0D" w:rsidP="001F4A0D">
      <w:pPr>
        <w:ind w:firstLine="709"/>
        <w:jc w:val="both"/>
        <w:rPr>
          <w:sz w:val="26"/>
          <w:szCs w:val="26"/>
        </w:rPr>
      </w:pPr>
      <w:r>
        <w:rPr>
          <w:sz w:val="26"/>
          <w:szCs w:val="26"/>
        </w:rPr>
        <w:t>По состоянию на 1 января 2021 года выполнено мероприятий на сумму 105 963,8 тыс. рублей (93,8% от профинансированной величины бюджетных средств).</w:t>
      </w:r>
    </w:p>
    <w:p w:rsidR="001F4A0D" w:rsidRDefault="001F4A0D" w:rsidP="001F4A0D">
      <w:pPr>
        <w:ind w:firstLine="709"/>
        <w:jc w:val="both"/>
        <w:rPr>
          <w:sz w:val="10"/>
          <w:szCs w:val="10"/>
        </w:rPr>
      </w:pPr>
    </w:p>
    <w:p w:rsidR="001F4A0D" w:rsidRDefault="001F4A0D" w:rsidP="001F4A0D">
      <w:pPr>
        <w:ind w:firstLine="709"/>
        <w:jc w:val="both"/>
        <w:rPr>
          <w:sz w:val="26"/>
          <w:szCs w:val="26"/>
        </w:rPr>
      </w:pPr>
      <w:r>
        <w:rPr>
          <w:sz w:val="26"/>
          <w:szCs w:val="26"/>
        </w:rPr>
        <w:t>Остаток средств по Подпрограмме на 1 января 2021 года составил 4 331,4 тыс. рублей.</w:t>
      </w:r>
    </w:p>
    <w:p w:rsidR="001F4A0D" w:rsidRDefault="001F4A0D" w:rsidP="001F4A0D">
      <w:pPr>
        <w:ind w:firstLine="709"/>
        <w:jc w:val="both"/>
        <w:rPr>
          <w:sz w:val="26"/>
          <w:szCs w:val="26"/>
        </w:rPr>
      </w:pPr>
    </w:p>
    <w:p w:rsidR="001F4A0D" w:rsidRDefault="001F4A0D" w:rsidP="001F4A0D">
      <w:pPr>
        <w:ind w:firstLine="709"/>
        <w:jc w:val="both"/>
        <w:rPr>
          <w:sz w:val="26"/>
          <w:szCs w:val="26"/>
        </w:rPr>
      </w:pPr>
      <w:r>
        <w:rPr>
          <w:sz w:val="26"/>
          <w:szCs w:val="26"/>
        </w:rPr>
        <w:t xml:space="preserve">В целях реализации </w:t>
      </w:r>
      <w:r>
        <w:rPr>
          <w:b/>
          <w:i/>
          <w:sz w:val="26"/>
          <w:szCs w:val="26"/>
        </w:rPr>
        <w:t>мероприятия</w:t>
      </w:r>
      <w:r>
        <w:rPr>
          <w:sz w:val="26"/>
          <w:szCs w:val="26"/>
        </w:rPr>
        <w:t xml:space="preserve"> «</w:t>
      </w:r>
      <w:r>
        <w:rPr>
          <w:b/>
          <w:i/>
          <w:sz w:val="26"/>
          <w:szCs w:val="26"/>
        </w:rPr>
        <w:t xml:space="preserve">Субсидии на финансовую поддержку субъектов предпринимательской деятельности, осуществляющих деятельность в сельской местности» </w:t>
      </w:r>
      <w:r>
        <w:rPr>
          <w:b/>
          <w:sz w:val="26"/>
          <w:szCs w:val="26"/>
        </w:rPr>
        <w:t>основного мероприятия «Стимулирование развития предпринимательства в сельской местности»</w:t>
      </w:r>
      <w:r>
        <w:rPr>
          <w:sz w:val="26"/>
          <w:szCs w:val="26"/>
        </w:rPr>
        <w:t xml:space="preserve"> в 2020 году сводной бюджетной росписью предусмотрено 32 000,0 тыс. рублей за счет средств окружного бюджета.</w:t>
      </w:r>
    </w:p>
    <w:p w:rsidR="001F4A0D" w:rsidRDefault="001F4A0D" w:rsidP="001F4A0D">
      <w:pPr>
        <w:ind w:firstLine="709"/>
        <w:jc w:val="both"/>
        <w:rPr>
          <w:sz w:val="26"/>
          <w:szCs w:val="26"/>
        </w:rPr>
      </w:pPr>
      <w:r>
        <w:rPr>
          <w:sz w:val="26"/>
          <w:szCs w:val="26"/>
        </w:rPr>
        <w:t>В соответствии с Порядком предоставления субсидий из окружного бюджета бюджетам муниципальных районов и городских округов Чукотского автономного округа на финансовую поддержку субъектов предпринимательской деятельности, осуществляющих деятельность в сельской местности, утвержденным приложением 3 к Государственной программе субсидия направляется на возмещение субъектам предпринимательской деятельности, осуществляющим деятельность в сельской местности, части затрат по оплате коммунальных услуг, потребленных в процессе ведения предпринимательской деятельности в сельских населенных пунктах Чукотского автономного округа (за исключением сельского населенного пункта Тавайваам), к которым относятся: услуги электроснабжения, холодного и горячего водоснабжения, водоотведения, отопления (теплоснабжения) или твердого топлива при наличии печного отопления.</w:t>
      </w:r>
    </w:p>
    <w:p w:rsidR="001F4A0D" w:rsidRDefault="001F4A0D" w:rsidP="001F4A0D">
      <w:pPr>
        <w:ind w:firstLine="709"/>
        <w:jc w:val="both"/>
        <w:rPr>
          <w:sz w:val="26"/>
          <w:szCs w:val="26"/>
        </w:rPr>
      </w:pPr>
      <w:r>
        <w:rPr>
          <w:sz w:val="26"/>
          <w:szCs w:val="26"/>
        </w:rPr>
        <w:t>В 2020 году в связи с распространением коронавирусной инфекции порядок предоставления поддержки был актуализирован - в случае, если деятельность субъекта предпринимательства в соответствии с распоряжением Губернатора Чукотского автономного округа была приостановлена на срок более 7 календарных дней, затраты по оплате коммунальных услуг за данный месяц компенсировались  в полном объеме.</w:t>
      </w:r>
    </w:p>
    <w:p w:rsidR="001F4A0D" w:rsidRDefault="001F4A0D" w:rsidP="001F4A0D">
      <w:pPr>
        <w:ind w:firstLine="709"/>
        <w:jc w:val="both"/>
        <w:rPr>
          <w:sz w:val="26"/>
          <w:szCs w:val="26"/>
        </w:rPr>
      </w:pPr>
      <w:r>
        <w:rPr>
          <w:sz w:val="26"/>
          <w:szCs w:val="26"/>
        </w:rPr>
        <w:t xml:space="preserve">В июне-июле 2020 года со всеми 6 муниципальными районами и городскими округами Чукотского автономного округа (за исключением городского округа Анадырь) были заключены соглашения о предоставлении межбюджетной субсидии. </w:t>
      </w:r>
    </w:p>
    <w:p w:rsidR="001F4A0D" w:rsidRDefault="001F4A0D" w:rsidP="001F4A0D">
      <w:pPr>
        <w:ind w:firstLine="709"/>
        <w:jc w:val="both"/>
        <w:rPr>
          <w:sz w:val="26"/>
          <w:szCs w:val="26"/>
        </w:rPr>
      </w:pPr>
      <w:r>
        <w:rPr>
          <w:sz w:val="26"/>
          <w:szCs w:val="26"/>
        </w:rPr>
        <w:t>По состоянию на 1 января 2021 года за счет средств окружного бюджета органам местного самоуправления направлено 30 806,8 тыс. рублей, которыми выполнено мероприятий на сумму 29 941,1 тыс. рублей.</w:t>
      </w:r>
      <w:r>
        <w:t xml:space="preserve"> </w:t>
      </w:r>
      <w:r>
        <w:rPr>
          <w:sz w:val="26"/>
          <w:szCs w:val="26"/>
        </w:rPr>
        <w:t xml:space="preserve">Не использованный </w:t>
      </w:r>
      <w:r>
        <w:rPr>
          <w:sz w:val="26"/>
          <w:szCs w:val="26"/>
        </w:rPr>
        <w:lastRenderedPageBreak/>
        <w:t>остаток в сумме 865,6 тыс. рублей будет возвращен в окружной бюджет в 1 квартале 2021 года.</w:t>
      </w:r>
    </w:p>
    <w:p w:rsidR="001F4A0D" w:rsidRDefault="001F4A0D" w:rsidP="001F4A0D">
      <w:pPr>
        <w:ind w:firstLine="709"/>
        <w:jc w:val="both"/>
        <w:rPr>
          <w:sz w:val="26"/>
          <w:szCs w:val="26"/>
        </w:rPr>
      </w:pPr>
      <w:r>
        <w:rPr>
          <w:sz w:val="26"/>
          <w:szCs w:val="26"/>
        </w:rPr>
        <w:t xml:space="preserve">Органами местного самоуправления предоставлена субсидия 37 получателям (из них 35 уникальных) на общую сумму 30 009,3 тыс. рублей, из них 29 941,1 тыс. рублей за счет субсидии из средств окружного бюджета, в том числе по муниципальным образованиям: </w:t>
      </w:r>
    </w:p>
    <w:p w:rsidR="001F4A0D" w:rsidRDefault="001F4A0D" w:rsidP="001F4A0D">
      <w:pPr>
        <w:ind w:firstLine="709"/>
        <w:jc w:val="both"/>
        <w:rPr>
          <w:sz w:val="26"/>
          <w:szCs w:val="26"/>
        </w:rPr>
      </w:pPr>
      <w:r>
        <w:rPr>
          <w:sz w:val="26"/>
          <w:szCs w:val="26"/>
        </w:rPr>
        <w:t xml:space="preserve">городской округ Певек – 4 получателя (на сумму 525,0 тыс. рублей, из них профинансировано и выполнено 522,4 тыс. рублей за счет субсидии из средств окружного бюджета; </w:t>
      </w:r>
    </w:p>
    <w:p w:rsidR="001F4A0D" w:rsidRDefault="001F4A0D" w:rsidP="001F4A0D">
      <w:pPr>
        <w:ind w:firstLine="709"/>
        <w:jc w:val="both"/>
        <w:rPr>
          <w:sz w:val="26"/>
          <w:szCs w:val="26"/>
        </w:rPr>
      </w:pPr>
      <w:r>
        <w:rPr>
          <w:sz w:val="26"/>
          <w:szCs w:val="26"/>
        </w:rPr>
        <w:t xml:space="preserve">городской округ Эгвекинот – 6 получателей (на сумму 6 057,5 тыс. рублей, из них профинансировано и выполнено 6 051,5 тыс. рублей за счет субсидии из средств окружного бюджета); </w:t>
      </w:r>
    </w:p>
    <w:p w:rsidR="001F4A0D" w:rsidRDefault="001F4A0D" w:rsidP="001F4A0D">
      <w:pPr>
        <w:ind w:firstLine="709"/>
        <w:jc w:val="both"/>
        <w:rPr>
          <w:sz w:val="26"/>
          <w:szCs w:val="26"/>
        </w:rPr>
      </w:pPr>
      <w:r>
        <w:rPr>
          <w:sz w:val="26"/>
          <w:szCs w:val="26"/>
        </w:rPr>
        <w:t>Чукотский муниципальный район – 13 получателей (на сумму 12 437,5 тыс. рублей, из них профинансировано и выполнено 12 425,0 тыс. рублей за счет субсидии из средств окружного бюджета);</w:t>
      </w:r>
    </w:p>
    <w:p w:rsidR="001F4A0D" w:rsidRDefault="001F4A0D" w:rsidP="001F4A0D">
      <w:pPr>
        <w:ind w:firstLine="709"/>
        <w:jc w:val="both"/>
        <w:rPr>
          <w:sz w:val="26"/>
          <w:szCs w:val="26"/>
        </w:rPr>
      </w:pPr>
      <w:r>
        <w:rPr>
          <w:sz w:val="26"/>
          <w:szCs w:val="26"/>
        </w:rPr>
        <w:t>Билибинский муниципальный район – 2 получателя (на сумму 242,9 тыс. рублей, из них профинансировано и выполнено 241,7 тыс. рублей за счет субсидии из средств окружного бюджета);</w:t>
      </w:r>
    </w:p>
    <w:p w:rsidR="001F4A0D" w:rsidRDefault="001F4A0D" w:rsidP="001F4A0D">
      <w:pPr>
        <w:ind w:firstLine="709"/>
        <w:jc w:val="both"/>
        <w:rPr>
          <w:sz w:val="26"/>
          <w:szCs w:val="26"/>
        </w:rPr>
      </w:pPr>
      <w:r>
        <w:rPr>
          <w:sz w:val="26"/>
          <w:szCs w:val="26"/>
        </w:rPr>
        <w:t>Анадырский муниципальный район – 11 получателей (на сумму 8 778,7 тыс. рублей, из них профинансировано и выполнено 8 734,8 тыс. рублей за счет субсидии из средств окружного бюджета);</w:t>
      </w:r>
    </w:p>
    <w:p w:rsidR="001F4A0D" w:rsidRDefault="001F4A0D" w:rsidP="001F4A0D">
      <w:pPr>
        <w:ind w:firstLine="709"/>
        <w:jc w:val="both"/>
        <w:rPr>
          <w:sz w:val="26"/>
          <w:szCs w:val="26"/>
        </w:rPr>
      </w:pPr>
      <w:r>
        <w:rPr>
          <w:sz w:val="26"/>
          <w:szCs w:val="26"/>
        </w:rPr>
        <w:t xml:space="preserve">Провиденский городской округ – 1 получатель (на сумму </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 xml:space="preserve">1 967,7 тыс. рублей, профинансировано и выполнено 1 965,7 тыс. рублей за счет субсидии из средств окружного бюджета. </w:t>
      </w:r>
    </w:p>
    <w:p w:rsidR="001F4A0D" w:rsidRDefault="001F4A0D" w:rsidP="001F4A0D">
      <w:pPr>
        <w:ind w:firstLine="709"/>
        <w:jc w:val="both"/>
        <w:rPr>
          <w:sz w:val="26"/>
          <w:szCs w:val="26"/>
        </w:rPr>
      </w:pPr>
      <w:r>
        <w:rPr>
          <w:sz w:val="26"/>
          <w:szCs w:val="26"/>
        </w:rPr>
        <w:t>По состоянию на 1 января 2021 года в рамках мероприятия профинансировано 30 806,8 тыс. рублей (96,3% от плановых значений), выполнено обязательств на сумму 29 941,1 тыс. рублей (93,6% от плановых значений).   Остаток средств по мероприятию обусловлен разницей между плановыми и фактическими объемами потребления коммунальных ресурсов субъектами предпринимательской деятельности, а также непредставлением отдельными субъектами предпринимательской деятельности документов, подтверждающих оплату коммунальных ресурсов.</w:t>
      </w:r>
    </w:p>
    <w:p w:rsidR="001F4A0D" w:rsidRDefault="001F4A0D" w:rsidP="001F4A0D">
      <w:pPr>
        <w:ind w:firstLine="709"/>
        <w:jc w:val="both"/>
        <w:rPr>
          <w:sz w:val="26"/>
          <w:szCs w:val="26"/>
        </w:rPr>
      </w:pPr>
    </w:p>
    <w:p w:rsidR="001F4A0D" w:rsidRDefault="001F4A0D" w:rsidP="001F4A0D">
      <w:pPr>
        <w:ind w:firstLine="709"/>
        <w:jc w:val="both"/>
        <w:rPr>
          <w:sz w:val="26"/>
          <w:szCs w:val="26"/>
        </w:rPr>
      </w:pPr>
      <w:r>
        <w:rPr>
          <w:sz w:val="26"/>
          <w:szCs w:val="26"/>
        </w:rPr>
        <w:t xml:space="preserve">На реализацию </w:t>
      </w:r>
      <w:r>
        <w:rPr>
          <w:b/>
          <w:i/>
          <w:sz w:val="26"/>
          <w:szCs w:val="26"/>
        </w:rPr>
        <w:t xml:space="preserve">мероприятия «Субсидия субъектам предпринимательской деятельности на возмещение части затрат на уплату процентов по кредитам, полученным в российских кредитных организациях на осуществление «северного завоза» потребительских товаров» </w:t>
      </w:r>
      <w:r>
        <w:rPr>
          <w:b/>
          <w:sz w:val="26"/>
          <w:szCs w:val="26"/>
        </w:rPr>
        <w:t>основного</w:t>
      </w:r>
      <w:r>
        <w:rPr>
          <w:sz w:val="26"/>
          <w:szCs w:val="26"/>
        </w:rPr>
        <w:t xml:space="preserve"> </w:t>
      </w:r>
      <w:r>
        <w:rPr>
          <w:b/>
          <w:sz w:val="26"/>
          <w:szCs w:val="26"/>
        </w:rPr>
        <w:t>мероприятия «Стимулирование развития торговли и повышение доступности товаров и услуг для населения»</w:t>
      </w:r>
      <w:r>
        <w:rPr>
          <w:sz w:val="26"/>
          <w:szCs w:val="26"/>
        </w:rPr>
        <w:t xml:space="preserve"> в 2020 году сводной бюджетной росписью предусмотрено 6 200,0 тыс. рублей за счет средств окружного бюджета. </w:t>
      </w:r>
    </w:p>
    <w:p w:rsidR="001F4A0D" w:rsidRDefault="001F4A0D" w:rsidP="001F4A0D">
      <w:pPr>
        <w:ind w:firstLine="708"/>
        <w:jc w:val="both"/>
        <w:rPr>
          <w:sz w:val="26"/>
          <w:szCs w:val="26"/>
        </w:rPr>
      </w:pPr>
      <w:r>
        <w:rPr>
          <w:sz w:val="26"/>
          <w:szCs w:val="26"/>
        </w:rPr>
        <w:t>В соответствии с порядком предоставления поддержки, утвержденным Постановлением Правительства Чукотского автономного округа от 30 марта 2020 года № 132, субсидия предоставляется субъектам предпринимательской деятельности на возмещение части затрат на уплату процентов по кредитам, полученным в банке, являющемся российской кредитной организацией, и (или) государственной микрофинансовой организации, одним из учредителей которой является Чукотский автономный округ, привлеченным на осуществление «северного завоза» потребительских товаров.</w:t>
      </w:r>
    </w:p>
    <w:p w:rsidR="001F4A0D" w:rsidRDefault="001F4A0D" w:rsidP="001F4A0D">
      <w:pPr>
        <w:ind w:firstLine="708"/>
        <w:jc w:val="both"/>
        <w:rPr>
          <w:sz w:val="26"/>
          <w:szCs w:val="26"/>
        </w:rPr>
      </w:pPr>
      <w:r>
        <w:rPr>
          <w:sz w:val="26"/>
          <w:szCs w:val="26"/>
        </w:rPr>
        <w:lastRenderedPageBreak/>
        <w:t>В 2020 году в связи с распространением коронавирусной инфекции порядок предоставления поддержки был актуализирован - с 1 апреля 2020 года размер поддержки был увеличен до размера ключевой ставки Банка России (ранее поддержка оказывалась из расчета ¾ ставки Банка России).</w:t>
      </w:r>
    </w:p>
    <w:p w:rsidR="001F4A0D" w:rsidRDefault="001F4A0D" w:rsidP="001F4A0D">
      <w:pPr>
        <w:ind w:firstLine="708"/>
        <w:jc w:val="both"/>
        <w:rPr>
          <w:sz w:val="26"/>
          <w:szCs w:val="26"/>
        </w:rPr>
      </w:pPr>
      <w:r>
        <w:rPr>
          <w:sz w:val="26"/>
          <w:szCs w:val="26"/>
        </w:rPr>
        <w:t>Поддержка в 2020 году осуществлялась по двум направлениям:</w:t>
      </w:r>
    </w:p>
    <w:p w:rsidR="001F4A0D" w:rsidRDefault="001F4A0D" w:rsidP="001F4A0D">
      <w:pPr>
        <w:ind w:firstLine="708"/>
        <w:jc w:val="both"/>
        <w:rPr>
          <w:sz w:val="26"/>
          <w:szCs w:val="26"/>
        </w:rPr>
      </w:pPr>
      <w:r>
        <w:rPr>
          <w:sz w:val="26"/>
          <w:szCs w:val="26"/>
        </w:rPr>
        <w:t>«северный завоз» 2019 года (для предпринимателей, заключивших с Департаментом финансов, экономики и имущественных отношений Чукотского автономного округа, соглашения о предоставлении субсидии в 2019 году);</w:t>
      </w:r>
    </w:p>
    <w:p w:rsidR="001F4A0D" w:rsidRDefault="001F4A0D" w:rsidP="001F4A0D">
      <w:pPr>
        <w:ind w:firstLine="708"/>
        <w:jc w:val="both"/>
        <w:rPr>
          <w:sz w:val="26"/>
          <w:szCs w:val="26"/>
        </w:rPr>
      </w:pPr>
      <w:r>
        <w:rPr>
          <w:sz w:val="26"/>
          <w:szCs w:val="26"/>
        </w:rPr>
        <w:t xml:space="preserve">«северный завоз» 2020 года (для предпринимателей, заключивших с Департаментом финансов, экономики и имущественных отношений Чукотского автономного округа, соглашения о предоставлении субсидии в 2020 году). </w:t>
      </w:r>
    </w:p>
    <w:p w:rsidR="001F4A0D" w:rsidRDefault="001F4A0D" w:rsidP="001F4A0D">
      <w:pPr>
        <w:ind w:firstLine="708"/>
        <w:jc w:val="both"/>
        <w:rPr>
          <w:sz w:val="26"/>
          <w:szCs w:val="26"/>
        </w:rPr>
      </w:pPr>
      <w:r>
        <w:rPr>
          <w:sz w:val="26"/>
          <w:szCs w:val="26"/>
        </w:rPr>
        <w:t xml:space="preserve">В соответствии с </w:t>
      </w:r>
      <w:r>
        <w:rPr>
          <w:b/>
          <w:i/>
          <w:sz w:val="26"/>
          <w:szCs w:val="26"/>
        </w:rPr>
        <w:t>первым направлением</w:t>
      </w:r>
      <w:r>
        <w:rPr>
          <w:sz w:val="26"/>
          <w:szCs w:val="26"/>
        </w:rPr>
        <w:t>, субсидия предоставлялась  субъектам предпринимательской деятельности – получателям поддержки 2019 года, осуществившим закупку потребительских товаров в навигационный период 2019 года и заключившим в 2019 году с Департаментом финансов, экономики и имущественных отношений Чукотского автономного округа соглашения о предоставлении субсидии для компенсации части затрат по уплате процентов, начисленных за период с ноября (декабря) 2019 года по ноябрь 2020 года (включительно) по кредитному договору и уплаченных субъектами предпринимательской деятельности в 2019-2020 годах.</w:t>
      </w:r>
    </w:p>
    <w:p w:rsidR="001F4A0D" w:rsidRDefault="001F4A0D" w:rsidP="001F4A0D">
      <w:pPr>
        <w:ind w:firstLine="708"/>
        <w:jc w:val="both"/>
        <w:rPr>
          <w:sz w:val="26"/>
          <w:szCs w:val="26"/>
        </w:rPr>
      </w:pPr>
      <w:r>
        <w:rPr>
          <w:sz w:val="26"/>
          <w:szCs w:val="26"/>
        </w:rPr>
        <w:t xml:space="preserve">Прием заявок по данному направлению осуществлялся до 1 мая 2020 года - с 6 субъектами предпринимательской деятельности заключены соглашения о предоставлении субсидии. </w:t>
      </w:r>
    </w:p>
    <w:p w:rsidR="001F4A0D" w:rsidRDefault="001F4A0D" w:rsidP="001F4A0D">
      <w:pPr>
        <w:ind w:firstLine="708"/>
        <w:jc w:val="both"/>
        <w:rPr>
          <w:sz w:val="26"/>
          <w:szCs w:val="26"/>
        </w:rPr>
      </w:pPr>
      <w:r>
        <w:rPr>
          <w:sz w:val="26"/>
          <w:szCs w:val="26"/>
        </w:rPr>
        <w:t>По состоянию на 1 января 2021 года в рамках данного направления получателям поддержки перечислено 3 849,1 тыс. рублей.</w:t>
      </w:r>
    </w:p>
    <w:p w:rsidR="001F4A0D" w:rsidRDefault="001F4A0D" w:rsidP="001F4A0D">
      <w:pPr>
        <w:autoSpaceDE w:val="0"/>
        <w:autoSpaceDN w:val="0"/>
        <w:adjustRightInd w:val="0"/>
        <w:ind w:firstLine="540"/>
        <w:jc w:val="both"/>
        <w:rPr>
          <w:sz w:val="26"/>
          <w:szCs w:val="26"/>
        </w:rPr>
      </w:pPr>
      <w:r>
        <w:rPr>
          <w:sz w:val="26"/>
          <w:szCs w:val="26"/>
        </w:rPr>
        <w:t xml:space="preserve">По </w:t>
      </w:r>
      <w:r>
        <w:rPr>
          <w:b/>
          <w:i/>
          <w:sz w:val="26"/>
          <w:szCs w:val="26"/>
        </w:rPr>
        <w:t>второму направлению</w:t>
      </w:r>
      <w:r>
        <w:rPr>
          <w:sz w:val="26"/>
          <w:szCs w:val="26"/>
        </w:rPr>
        <w:t>, субсидия предоставлялась для компенсации части затрат по уплате процентов, начисленных за период с января по ноябрь 2020 года (включительно), по кредитному договору, и уплаченных субъектами предпринимательской деятельности в 2020 году, но не позднее 15 декабря 2020 года.</w:t>
      </w:r>
    </w:p>
    <w:p w:rsidR="001F4A0D" w:rsidRDefault="001F4A0D" w:rsidP="001F4A0D">
      <w:pPr>
        <w:ind w:firstLine="708"/>
        <w:jc w:val="both"/>
        <w:rPr>
          <w:sz w:val="26"/>
          <w:szCs w:val="26"/>
        </w:rPr>
      </w:pPr>
      <w:r>
        <w:rPr>
          <w:sz w:val="26"/>
          <w:szCs w:val="26"/>
        </w:rPr>
        <w:t>Прием заявок по второму направлению осуществлялся до 25 ноября 2020 года – с 11 субъектами предпринимательской деятельности заключены соглашения.</w:t>
      </w:r>
    </w:p>
    <w:p w:rsidR="001F4A0D" w:rsidRDefault="001F4A0D" w:rsidP="001F4A0D">
      <w:pPr>
        <w:ind w:firstLine="708"/>
        <w:jc w:val="both"/>
        <w:rPr>
          <w:sz w:val="26"/>
          <w:szCs w:val="26"/>
        </w:rPr>
      </w:pPr>
      <w:r>
        <w:rPr>
          <w:sz w:val="26"/>
          <w:szCs w:val="26"/>
        </w:rPr>
        <w:t xml:space="preserve"> По состоянию на 1 января 2021 года в рамках данного направления получателям поддержки перечислено 2 269,3 тыс. рублей.</w:t>
      </w:r>
    </w:p>
    <w:p w:rsidR="001F4A0D" w:rsidRDefault="001F4A0D" w:rsidP="001F4A0D">
      <w:pPr>
        <w:ind w:firstLine="708"/>
        <w:jc w:val="both"/>
        <w:rPr>
          <w:sz w:val="26"/>
          <w:szCs w:val="26"/>
        </w:rPr>
      </w:pPr>
      <w:r>
        <w:rPr>
          <w:sz w:val="26"/>
          <w:szCs w:val="26"/>
        </w:rPr>
        <w:t xml:space="preserve">В целом по мероприятию профинансировано и выполнено обязательств на сумму 6 118,4 тыс. рублей (98,7% от плановых значений). Остаток средств по мероприятию составил 81,6 тыс. рублей </w:t>
      </w:r>
    </w:p>
    <w:p w:rsidR="001F4A0D" w:rsidRDefault="001F4A0D" w:rsidP="001F4A0D">
      <w:pPr>
        <w:ind w:firstLine="708"/>
        <w:jc w:val="both"/>
        <w:rPr>
          <w:sz w:val="26"/>
          <w:szCs w:val="26"/>
        </w:rPr>
      </w:pPr>
    </w:p>
    <w:p w:rsidR="001F4A0D" w:rsidRDefault="001F4A0D" w:rsidP="001F4A0D">
      <w:pPr>
        <w:ind w:firstLine="708"/>
        <w:jc w:val="both"/>
        <w:rPr>
          <w:sz w:val="26"/>
          <w:szCs w:val="26"/>
        </w:rPr>
      </w:pPr>
      <w:r>
        <w:rPr>
          <w:sz w:val="26"/>
          <w:szCs w:val="26"/>
        </w:rPr>
        <w:t xml:space="preserve">В целях реализации </w:t>
      </w:r>
      <w:r>
        <w:rPr>
          <w:b/>
          <w:i/>
          <w:sz w:val="26"/>
          <w:szCs w:val="26"/>
        </w:rPr>
        <w:t>мероприятия</w:t>
      </w:r>
      <w:r>
        <w:rPr>
          <w:sz w:val="26"/>
          <w:szCs w:val="26"/>
        </w:rPr>
        <w:t xml:space="preserve"> «</w:t>
      </w:r>
      <w:r>
        <w:rPr>
          <w:b/>
          <w:i/>
          <w:sz w:val="26"/>
          <w:szCs w:val="26"/>
        </w:rPr>
        <w:t xml:space="preserve">Субсидия субъектам предпринимательской деятельности на возмещение части затрат, связанных с уплатой процентов по кредитам, привлеченным в инвестиционных целях» </w:t>
      </w:r>
      <w:r>
        <w:rPr>
          <w:b/>
          <w:sz w:val="26"/>
          <w:szCs w:val="26"/>
        </w:rPr>
        <w:t>основного мероприятия «Обеспечение доступа субъектов предпринимательства к кредитным ресурсам, привлекаемым в целях осуществления капитальных вложений»</w:t>
      </w:r>
      <w:r>
        <w:rPr>
          <w:sz w:val="26"/>
          <w:szCs w:val="26"/>
        </w:rPr>
        <w:t xml:space="preserve"> в 2020 году сводной бюджетной росписью предусмотрено 9 114,6 тыс. рублей за счет средств окружного бюджета.</w:t>
      </w:r>
    </w:p>
    <w:p w:rsidR="001F4A0D" w:rsidRDefault="001F4A0D" w:rsidP="001F4A0D">
      <w:pPr>
        <w:ind w:firstLine="708"/>
        <w:jc w:val="both"/>
        <w:rPr>
          <w:sz w:val="26"/>
          <w:szCs w:val="26"/>
        </w:rPr>
      </w:pPr>
      <w:r>
        <w:rPr>
          <w:sz w:val="26"/>
          <w:szCs w:val="26"/>
        </w:rPr>
        <w:t xml:space="preserve">В соответствии с порядком предоставления поддержки, утвержденным Постановлением Правительства Чукотского автономного округа от 24 апреля 2019 года № 232, субсидия предоставляется субъектам предпринимательской </w:t>
      </w:r>
      <w:r>
        <w:rPr>
          <w:sz w:val="26"/>
          <w:szCs w:val="26"/>
        </w:rPr>
        <w:lastRenderedPageBreak/>
        <w:t>деятельности на возмещение части затрат на уплату процентов по кредитам, полученным в банке, являющемся российской кредитной организацией, и (или) государственной микрофинансовой организации, одним из учредителей которой является Чукотский автономный округ, привлеченным в инвестиционных целях.</w:t>
      </w:r>
    </w:p>
    <w:p w:rsidR="001F4A0D" w:rsidRDefault="001F4A0D" w:rsidP="001F4A0D">
      <w:pPr>
        <w:ind w:firstLine="708"/>
        <w:jc w:val="both"/>
        <w:rPr>
          <w:sz w:val="26"/>
          <w:szCs w:val="26"/>
        </w:rPr>
      </w:pPr>
      <w:r>
        <w:rPr>
          <w:sz w:val="26"/>
          <w:szCs w:val="26"/>
        </w:rPr>
        <w:t>В 2020 году в связи с распространением коронавирусной инфекции порядок предоставления поддержки был актуализирован - с 1 апреля 2020 года размер поддержки был увеличен до размера ключевой ставки Банка России (ранее поддержка оказывалась из расчета ¾ ставки Банка России).</w:t>
      </w:r>
    </w:p>
    <w:p w:rsidR="001F4A0D" w:rsidRDefault="001F4A0D" w:rsidP="001F4A0D">
      <w:pPr>
        <w:ind w:firstLine="708"/>
        <w:jc w:val="both"/>
        <w:rPr>
          <w:sz w:val="26"/>
          <w:szCs w:val="26"/>
        </w:rPr>
      </w:pPr>
      <w:r>
        <w:rPr>
          <w:sz w:val="26"/>
          <w:szCs w:val="26"/>
        </w:rPr>
        <w:t>Прием заявок осуществлялся до 25 ноября 2020 года – с 5 субъектами предпринимательской деятельности заключены соглашения, которым перечислено 6 563,6 тыс. рублей.</w:t>
      </w:r>
    </w:p>
    <w:p w:rsidR="001F4A0D" w:rsidRDefault="001F4A0D" w:rsidP="001F4A0D">
      <w:pPr>
        <w:ind w:firstLine="708"/>
        <w:jc w:val="both"/>
        <w:rPr>
          <w:sz w:val="26"/>
          <w:szCs w:val="26"/>
        </w:rPr>
      </w:pPr>
      <w:r>
        <w:rPr>
          <w:sz w:val="26"/>
          <w:szCs w:val="26"/>
        </w:rPr>
        <w:t>Субъектами предпринимательской деятельности были привлечены кредиты в целях строительства тепличного и спортивного комплексов, технического перевооружения оборудования для производства электроэнергии, приобретения недвижимого имущества для создания производства по обработке металлических конструкций, а также приобретения самоходной машины.</w:t>
      </w:r>
    </w:p>
    <w:p w:rsidR="001F4A0D" w:rsidRDefault="001F4A0D" w:rsidP="001F4A0D">
      <w:pPr>
        <w:ind w:firstLine="708"/>
        <w:jc w:val="both"/>
        <w:rPr>
          <w:sz w:val="26"/>
          <w:szCs w:val="26"/>
        </w:rPr>
      </w:pPr>
      <w:r>
        <w:rPr>
          <w:sz w:val="26"/>
          <w:szCs w:val="26"/>
        </w:rPr>
        <w:t xml:space="preserve"> По состоянию на 1 января 2021 года в рамках мероприятия профинансировано и выполнено обязательств на общую сумму 6 563,6 тыс. рублей (72,0% от плановых значений). Остаток средств по мероприятию составил 2 551,0 тыс. рублей в связи с непредставлением заявок на финансирование в 4 квартале 2020 года отдельными субъектами предпринимательской деятельности, а также отказом в предоставлении субсидии двум субъектам предпринимательской деятельности.</w:t>
      </w:r>
    </w:p>
    <w:p w:rsidR="001F4A0D" w:rsidRDefault="001F4A0D" w:rsidP="001F4A0D">
      <w:pPr>
        <w:ind w:firstLine="709"/>
        <w:jc w:val="both"/>
        <w:rPr>
          <w:sz w:val="26"/>
          <w:szCs w:val="26"/>
        </w:rPr>
      </w:pPr>
    </w:p>
    <w:p w:rsidR="001F4A0D" w:rsidRDefault="001F4A0D" w:rsidP="001F4A0D">
      <w:pPr>
        <w:ind w:firstLine="708"/>
        <w:jc w:val="both"/>
        <w:rPr>
          <w:sz w:val="26"/>
          <w:szCs w:val="26"/>
        </w:rPr>
      </w:pPr>
      <w:r>
        <w:rPr>
          <w:sz w:val="26"/>
          <w:szCs w:val="26"/>
        </w:rPr>
        <w:t xml:space="preserve">В целях реализации </w:t>
      </w:r>
      <w:r>
        <w:rPr>
          <w:b/>
          <w:i/>
          <w:sz w:val="26"/>
          <w:szCs w:val="26"/>
        </w:rPr>
        <w:t>мероприятия</w:t>
      </w:r>
      <w:r>
        <w:rPr>
          <w:sz w:val="26"/>
          <w:szCs w:val="26"/>
        </w:rPr>
        <w:t xml:space="preserve"> «</w:t>
      </w:r>
      <w:r>
        <w:rPr>
          <w:b/>
          <w:i/>
          <w:sz w:val="26"/>
          <w:szCs w:val="26"/>
        </w:rPr>
        <w:t xml:space="preserve">Иные межбюджетные трансферты местным бюджетам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 </w:t>
      </w:r>
      <w:r>
        <w:rPr>
          <w:b/>
          <w:sz w:val="26"/>
          <w:szCs w:val="26"/>
        </w:rPr>
        <w:t>основного мероприятия «Стимулирование развития предпринимательства»</w:t>
      </w:r>
      <w:r>
        <w:rPr>
          <w:sz w:val="26"/>
          <w:szCs w:val="26"/>
        </w:rPr>
        <w:t xml:space="preserve"> в 2020 году сводной бюджетной росписью предусмотрено 70 000,0 тыс. рублей за счет средств окружного бюджета.</w:t>
      </w:r>
    </w:p>
    <w:p w:rsidR="001F4A0D" w:rsidRDefault="001F4A0D" w:rsidP="001F4A0D">
      <w:pPr>
        <w:ind w:firstLine="708"/>
        <w:jc w:val="both"/>
        <w:rPr>
          <w:sz w:val="26"/>
          <w:szCs w:val="26"/>
        </w:rPr>
      </w:pPr>
      <w:r>
        <w:rPr>
          <w:sz w:val="26"/>
          <w:szCs w:val="26"/>
        </w:rPr>
        <w:t>19 мая 2020 года Постановлением Правительства Чукотского автономного округа № 232 утвержден Порядок предоставления иных межбюджетных трансфертов из окружного бюджета в 2020 году местным бюджетам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 (далее – Порядок).</w:t>
      </w:r>
    </w:p>
    <w:p w:rsidR="001F4A0D" w:rsidRDefault="001F4A0D" w:rsidP="001F4A0D">
      <w:pPr>
        <w:ind w:firstLine="708"/>
        <w:jc w:val="both"/>
        <w:rPr>
          <w:sz w:val="26"/>
          <w:szCs w:val="26"/>
        </w:rPr>
      </w:pPr>
      <w:r>
        <w:rPr>
          <w:sz w:val="26"/>
          <w:szCs w:val="26"/>
        </w:rPr>
        <w:t>В рамках данной поддержки субъектам предпринимательской деятельности, осуществляющим деятельность в отдельных отраслях в городской местности, возмещаются затраты по оплате коммунальных услуг (с января по октябрь 2020 года) до уровня тарифов, установленных для населения, при этом, в случае если деятельность субъекта предпринимательства в соответствии с распоряжением Губернатора Чукотского автономного округа была приостановлена на срок более 7 календарных дней, затраты по оплате коммунальных услуг за данный месяц компенсируются в полном объеме.</w:t>
      </w:r>
    </w:p>
    <w:p w:rsidR="001F4A0D" w:rsidRDefault="001F4A0D" w:rsidP="001F4A0D">
      <w:pPr>
        <w:ind w:firstLine="708"/>
        <w:jc w:val="both"/>
        <w:rPr>
          <w:sz w:val="26"/>
          <w:szCs w:val="26"/>
        </w:rPr>
      </w:pPr>
      <w:r>
        <w:rPr>
          <w:sz w:val="26"/>
          <w:szCs w:val="26"/>
        </w:rPr>
        <w:t xml:space="preserve">Порядком установлены следующие отрасли (согласно Общероссийского классификатора видов экономической деятельности ОК 029-2014 (КДЕС Ред. 2), </w:t>
      </w:r>
      <w:r>
        <w:rPr>
          <w:sz w:val="26"/>
          <w:szCs w:val="26"/>
        </w:rPr>
        <w:lastRenderedPageBreak/>
        <w:t>при осуществлении деятельности в которых субъектам предпринимательской деятельности предоставляется субсидия:</w:t>
      </w:r>
    </w:p>
    <w:p w:rsidR="001F4A0D" w:rsidRDefault="001F4A0D" w:rsidP="001F4A0D">
      <w:pPr>
        <w:ind w:firstLine="708"/>
        <w:jc w:val="both"/>
        <w:rPr>
          <w:sz w:val="26"/>
          <w:szCs w:val="26"/>
        </w:rPr>
      </w:pPr>
      <w:r>
        <w:rPr>
          <w:sz w:val="26"/>
          <w:szCs w:val="26"/>
        </w:rPr>
        <w:t>1) раздел C "Обрабатывающие производства" (за исключением классов 10 «Производство пищевых продуктов», 11 «Производство напитков», 19 «Производство кокса и нефтепродуктов», 24 «Производство металлургическое»);</w:t>
      </w:r>
    </w:p>
    <w:p w:rsidR="001F4A0D" w:rsidRDefault="001F4A0D" w:rsidP="001F4A0D">
      <w:pPr>
        <w:ind w:firstLine="708"/>
        <w:jc w:val="both"/>
        <w:rPr>
          <w:sz w:val="26"/>
          <w:szCs w:val="26"/>
        </w:rPr>
      </w:pPr>
      <w:r>
        <w:rPr>
          <w:sz w:val="26"/>
          <w:szCs w:val="26"/>
        </w:rPr>
        <w:t>2) раздел G «Торговля оптовая и розничная; ремонт автотранспортных средств и мотоциклов»;</w:t>
      </w:r>
    </w:p>
    <w:p w:rsidR="001F4A0D" w:rsidRDefault="001F4A0D" w:rsidP="001F4A0D">
      <w:pPr>
        <w:ind w:firstLine="708"/>
        <w:jc w:val="both"/>
        <w:rPr>
          <w:sz w:val="26"/>
          <w:szCs w:val="26"/>
        </w:rPr>
      </w:pPr>
      <w:r>
        <w:rPr>
          <w:sz w:val="26"/>
          <w:szCs w:val="26"/>
        </w:rPr>
        <w:t>3) раздел I «Деятельность гостиниц и предприятий общественного питания»;</w:t>
      </w:r>
    </w:p>
    <w:p w:rsidR="001F4A0D" w:rsidRDefault="001F4A0D" w:rsidP="001F4A0D">
      <w:pPr>
        <w:ind w:firstLine="708"/>
        <w:jc w:val="both"/>
        <w:rPr>
          <w:sz w:val="26"/>
          <w:szCs w:val="26"/>
        </w:rPr>
      </w:pPr>
      <w:r>
        <w:rPr>
          <w:sz w:val="26"/>
          <w:szCs w:val="26"/>
        </w:rPr>
        <w:t>4) раздел J «Деятельность в области информации и связи» (за исключением классов 59 «Производство кинофильмов, видеофильмов и телевизионных программ, издание звукозаписей и нот», 60 «Деятельность в области телевизионного и радиовещания», 61 «Деятельность в сфере телекоммуникаций», 62 «Разработка компьютерного программного обеспечения, консультационные услуги в данной области и другие сопутствующие услуги», 63 «Деятельность в области информационных технологий»);</w:t>
      </w:r>
    </w:p>
    <w:p w:rsidR="001F4A0D" w:rsidRDefault="001F4A0D" w:rsidP="001F4A0D">
      <w:pPr>
        <w:ind w:firstLine="708"/>
        <w:jc w:val="both"/>
        <w:rPr>
          <w:sz w:val="26"/>
          <w:szCs w:val="26"/>
        </w:rPr>
      </w:pPr>
      <w:r>
        <w:rPr>
          <w:sz w:val="26"/>
          <w:szCs w:val="26"/>
        </w:rPr>
        <w:t>5) раздел M «Деятельность профессиональная, научная и техническая» (за исключением классов 69 «Деятельность в области права и бухгалтерского учета», 70 «Деятельность головных офисов; консультирование по вопросам управления», 71 «Деятельность в области архитектуры и инженерно-технического проектирования; технических испытаний, исследований и анализа», 72 «Научные исследования и разработки», 73 «Деятельность рекламная и исследование конъюнктуры рынка», 74 «Деятельность профессиональная научная и техническая прочая»);</w:t>
      </w:r>
    </w:p>
    <w:p w:rsidR="001F4A0D" w:rsidRDefault="001F4A0D" w:rsidP="001F4A0D">
      <w:pPr>
        <w:ind w:firstLine="708"/>
        <w:jc w:val="both"/>
        <w:rPr>
          <w:sz w:val="26"/>
          <w:szCs w:val="26"/>
        </w:rPr>
      </w:pPr>
      <w:r>
        <w:rPr>
          <w:sz w:val="26"/>
          <w:szCs w:val="26"/>
        </w:rPr>
        <w:t>6) раздел N «Деятельность административная и сопутствующие дополнительные услуги» (за исключением классов 77 «Аренда и лизинг», 78 «Деятельность по трудоустройству и подбору персонала», 80 «Деятельность по обеспечению безопасности и проведению расследований», 81 «Деятельность по обслуживанию зданий и территорий»,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p w:rsidR="001F4A0D" w:rsidRDefault="001F4A0D" w:rsidP="001F4A0D">
      <w:pPr>
        <w:ind w:firstLine="708"/>
        <w:jc w:val="both"/>
        <w:rPr>
          <w:sz w:val="26"/>
          <w:szCs w:val="26"/>
        </w:rPr>
      </w:pPr>
      <w:r>
        <w:rPr>
          <w:sz w:val="26"/>
          <w:szCs w:val="26"/>
        </w:rPr>
        <w:t>7) раздел P «Образование»;</w:t>
      </w:r>
    </w:p>
    <w:p w:rsidR="001F4A0D" w:rsidRDefault="001F4A0D" w:rsidP="001F4A0D">
      <w:pPr>
        <w:ind w:firstLine="708"/>
        <w:jc w:val="both"/>
        <w:rPr>
          <w:sz w:val="26"/>
          <w:szCs w:val="26"/>
        </w:rPr>
      </w:pPr>
      <w:r>
        <w:rPr>
          <w:sz w:val="26"/>
          <w:szCs w:val="26"/>
        </w:rPr>
        <w:t>8) раздел Q «Деятельность в области здравоохранения и социальных услуг»;</w:t>
      </w:r>
    </w:p>
    <w:p w:rsidR="001F4A0D" w:rsidRDefault="001F4A0D" w:rsidP="001F4A0D">
      <w:pPr>
        <w:ind w:firstLine="708"/>
        <w:jc w:val="both"/>
        <w:rPr>
          <w:sz w:val="26"/>
          <w:szCs w:val="26"/>
        </w:rPr>
      </w:pPr>
      <w:r>
        <w:rPr>
          <w:sz w:val="26"/>
          <w:szCs w:val="26"/>
        </w:rPr>
        <w:t>9) 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p w:rsidR="001F4A0D" w:rsidRDefault="001F4A0D" w:rsidP="001F4A0D">
      <w:pPr>
        <w:ind w:firstLine="708"/>
        <w:jc w:val="both"/>
        <w:rPr>
          <w:sz w:val="26"/>
          <w:szCs w:val="26"/>
        </w:rPr>
      </w:pPr>
      <w:r>
        <w:rPr>
          <w:sz w:val="26"/>
          <w:szCs w:val="26"/>
        </w:rPr>
        <w:t>10) раздел S «Предоставление прочих видов услуг» (за исключением класса 94 «Деятельность общественных организаций»).</w:t>
      </w:r>
    </w:p>
    <w:p w:rsidR="001F4A0D" w:rsidRDefault="001F4A0D" w:rsidP="001F4A0D">
      <w:pPr>
        <w:ind w:firstLine="709"/>
        <w:jc w:val="both"/>
        <w:rPr>
          <w:sz w:val="26"/>
          <w:szCs w:val="26"/>
        </w:rPr>
      </w:pPr>
      <w:r>
        <w:rPr>
          <w:sz w:val="26"/>
          <w:szCs w:val="26"/>
        </w:rPr>
        <w:t xml:space="preserve">В июне 2020 года со всеми 5 муниципальными районами и городскими округами Чукотского автономного округа (за исключением Чукотского муниципального района) были заключены соглашения о предоставлении иного межбюджетного трансферта. </w:t>
      </w:r>
    </w:p>
    <w:p w:rsidR="001F4A0D" w:rsidRDefault="001F4A0D" w:rsidP="001F4A0D">
      <w:pPr>
        <w:ind w:firstLine="709"/>
        <w:jc w:val="both"/>
        <w:rPr>
          <w:sz w:val="26"/>
          <w:szCs w:val="26"/>
        </w:rPr>
      </w:pPr>
      <w:r>
        <w:rPr>
          <w:sz w:val="26"/>
          <w:szCs w:val="26"/>
        </w:rPr>
        <w:t>По состоянию на 1 января 2021 года за счет средств окружного бюджета органам местного самоуправления направлено 69 494,5 тыс. рублей, которыми выполнено мероприятий на сумму 63 340,7 тыс. рублей. Не использованный остаток в сумме 6 153,8 тыс. рублей будет возвращен в окружной бюджет в 1 квартале 2021 года.</w:t>
      </w:r>
    </w:p>
    <w:p w:rsidR="001F4A0D" w:rsidRDefault="001F4A0D" w:rsidP="001F4A0D">
      <w:pPr>
        <w:ind w:firstLine="709"/>
        <w:jc w:val="both"/>
        <w:rPr>
          <w:sz w:val="26"/>
          <w:szCs w:val="26"/>
        </w:rPr>
      </w:pPr>
      <w:r>
        <w:rPr>
          <w:sz w:val="26"/>
          <w:szCs w:val="26"/>
        </w:rPr>
        <w:lastRenderedPageBreak/>
        <w:t>Органами местного самоуправления предоставлена субсидия 134 получателям (из них 129 уникальных) на общую сумму 63 340,7  тыс. рублей, в том числе по муниципальным образованиям: городской округ Анадырь – 50 получателей (на сумму 32 446,5 тыс. рублей); городской округ Певек – 39 получателей (на сумму 9 596,0 тыс. рублей); Билибинский муниципальный район – 26 получателей (на сумму 5 125,3 тыс. рублей); Провиденский городской округ – 3 получателя (на сумму 3 760,8 тыс. рублей); городской округ Эгвекинот– 5 получателей (на сумму 7 012,3 тыс. рублей); Анадырский муниципальный район – 11 получателей (на сумму 5 399,7 тыс. рублей).</w:t>
      </w:r>
    </w:p>
    <w:p w:rsidR="001F4A0D" w:rsidRDefault="001F4A0D" w:rsidP="001F4A0D">
      <w:pPr>
        <w:ind w:firstLine="708"/>
        <w:jc w:val="both"/>
        <w:rPr>
          <w:sz w:val="26"/>
          <w:szCs w:val="26"/>
        </w:rPr>
      </w:pPr>
      <w:r>
        <w:rPr>
          <w:sz w:val="26"/>
          <w:szCs w:val="26"/>
        </w:rPr>
        <w:t>По состоянию на 1 января 2021 года в рамках мероприятия профинансировано 69 494,5 тыс. рублей (99,3% от плановых значений), выполнено обязательств на сумму 63 340,7 тыс. рублей (90,5% от плановых значений).   Остаток средств по мероприятию обусловлен разницей между плановыми и фактическими объемами потребления коммунальных ресурсов субъектами предпринимательской деятельности, а также непредставлением отдельными субъектами предпринимательской деятельности документов, подтверждающих оплату коммунальных ресурсов.</w:t>
      </w:r>
    </w:p>
    <w:p w:rsidR="001F4A0D" w:rsidRDefault="001F4A0D" w:rsidP="001F4A0D">
      <w:pPr>
        <w:autoSpaceDE w:val="0"/>
        <w:autoSpaceDN w:val="0"/>
        <w:adjustRightInd w:val="0"/>
        <w:ind w:firstLine="709"/>
        <w:jc w:val="both"/>
        <w:rPr>
          <w:sz w:val="26"/>
          <w:szCs w:val="26"/>
        </w:rPr>
      </w:pPr>
    </w:p>
    <w:p w:rsidR="007347CB" w:rsidRDefault="007347CB">
      <w:bookmarkStart w:id="0" w:name="_GoBack"/>
      <w:bookmarkEnd w:id="0"/>
    </w:p>
    <w:sectPr w:rsidR="007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9"/>
    <w:rsid w:val="001F4A0D"/>
    <w:rsid w:val="00541789"/>
    <w:rsid w:val="0073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2381</Words>
  <Characters>13573</Characters>
  <Application>Microsoft Office Word</Application>
  <DocSecurity>0</DocSecurity>
  <Lines>113</Lines>
  <Paragraphs>31</Paragraphs>
  <ScaleCrop>false</ScaleCrop>
  <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Кевкей Виталий Валентинович</dc:creator>
  <cp:keywords/>
  <dc:description/>
  <cp:lastModifiedBy>Кевкей Виталий Валентинович</cp:lastModifiedBy>
  <cp:revision>2</cp:revision>
  <dcterms:created xsi:type="dcterms:W3CDTF">2021-03-23T03:48:00Z</dcterms:created>
  <dcterms:modified xsi:type="dcterms:W3CDTF">2021-03-23T03:49:00Z</dcterms:modified>
</cp:coreProperties>
</file>